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6"/>
        <w:jc w:val="center"/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pPr>
      <w:r/>
      <w:bookmarkStart w:id="0" w:name="_Hlk124511293"/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NIWAS HOUSING FINANCE LIMITED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</w:r>
    </w:p>
    <w:p>
      <w:pPr>
        <w:pBdr/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>
        <w:rPr>
          <w:rFonts w:ascii="Bookman Old Style" w:hAnsi="Bookman Old Style" w:eastAsia="Times New Roman" w:cs="Times New Roman"/>
          <w:b/>
          <w:bCs/>
          <w:sz w:val="24"/>
          <w:szCs w:val="24"/>
          <w:shd w:val="clear" w:color="auto" w:fill="ffffff"/>
          <w:lang w:eastAsia="en-IN"/>
        </w:rPr>
        <w:t xml:space="preserve">(Formerly, Niwas Housing Finance Private Limited)</w:t>
      </w:r>
      <w:r>
        <w:rPr>
          <w:rFonts w:ascii="Bookman Old Style" w:hAnsi="Bookman Old Style" w:cs="Times New Roman"/>
          <w:b/>
          <w:bCs/>
          <w:sz w:val="20"/>
          <w:szCs w:val="20"/>
          <w:u w:val="single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pP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Chakala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  <w:t xml:space="preserve">, Andheri (East), Mumbai – 400093</w:t>
      </w:r>
      <w:r>
        <w:rPr>
          <w:rFonts w:ascii="Bookman Old Style" w:hAnsi="Bookman Old Style" w:eastAsia="Times New Roman" w:cs="Times New Roman"/>
          <w:b/>
          <w:bCs/>
          <w:sz w:val="20"/>
          <w:szCs w:val="20"/>
          <w:shd w:val="clear" w:color="auto" w:fill="ffffff"/>
          <w:lang w:eastAsia="en-IN"/>
        </w:rPr>
      </w:r>
    </w:p>
    <w:p>
      <w:pPr>
        <w:pBdr/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10" w:tooltip="mailto:connect@niwashfc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connect@niwashfc.com</w:t>
        </w:r>
      </w:hyperlink>
      <w:r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U65990MH2016PLC271587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Contact No.: -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Mr. Abhay Pande-9823199007</w:t>
      </w:r>
      <w:bookmarkEnd w:id="1"/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[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APPENDIX-IV-A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[See proviso to rule 8(6)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 xml:space="preserve">]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</w:r>
    </w:p>
    <w:p>
      <w:pPr>
        <w:pBdr/>
        <w:spacing w:after="0" w:line="0" w:lineRule="atLeast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Sale notice for sale of immovable properties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E-Auction Sale Notice for Sale of Immovable Assets under the Securitization and Reconstruction of Financial Assets and Enforcement of Security Interest Act, 2002 read with proviso to Rule 8 (6) of the Security Interest (Enforcement) Rules, 2002.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 w:after="0"/>
        <w:ind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Authorized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hAnsi="Bookman Old Style" w:eastAsia="Times New Roman" w:cs="Times New Roman"/>
          <w:b/>
          <w:bCs/>
          <w:sz w:val="18"/>
          <w:szCs w:val="18"/>
          <w:shd w:val="clear" w:color="auto" w:fill="ffffff"/>
          <w:lang w:eastAsia="en-IN"/>
        </w:rPr>
        <w:t xml:space="preserve">NHFL</w:t>
      </w:r>
      <w:r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under the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Securitisation and Reconstruction of Financial Assets and Enforcement of Security Interest Act, 2002 for the recovery of amount due from borrower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(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), offers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online on the Web Portal of our Sales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pvt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.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r>
    </w:p>
    <w:p>
      <w:pPr>
        <w:pBdr/>
        <w:spacing/>
        <w:ind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said property is</w:t>
      </w:r>
      <w:r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>
        <w:rPr>
          <w:rFonts w:ascii="Bookman Old Style" w:hAnsi="Bookman Old Style" w:cs="Times New Roman"/>
          <w:sz w:val="20"/>
          <w:szCs w:val="20"/>
        </w:rPr>
        <w:t xml:space="preserve">on “As Is Where Is Basis”, “As Is What Is Basis”, “Whatever is There Is Basis”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and </w:t>
      </w:r>
      <w:r>
        <w:rPr>
          <w:rFonts w:ascii="Bookman Old Style" w:hAnsi="Bookman Old Style" w:cs="Times New Roman"/>
          <w:sz w:val="20"/>
          <w:szCs w:val="20"/>
          <w:lang w:val="en-GB"/>
        </w:rPr>
        <w:t xml:space="preserve">“</w:t>
      </w:r>
      <w:r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>
        <w:rPr>
          <w:rFonts w:ascii="Bookman Old Style" w:hAnsi="Bookman Old Style" w:cs="Times New Roman"/>
          <w:sz w:val="20"/>
          <w:szCs w:val="20"/>
        </w:rPr>
        <w:t xml:space="preserve">particular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s</w:t>
      </w:r>
      <w:r>
        <w:rPr>
          <w:rFonts w:ascii="Bookman Old Style" w:hAnsi="Bookman Old Style" w:cs="Times New Roman"/>
          <w:sz w:val="20"/>
          <w:szCs w:val="20"/>
        </w:rPr>
        <w:t xml:space="preserve"> of which are </w:t>
      </w:r>
      <w:r>
        <w:rPr>
          <w:rFonts w:ascii="Bookman Old Style" w:hAnsi="Bookman Old Style" w:cs="Times New Roman"/>
          <w:sz w:val="20"/>
          <w:szCs w:val="20"/>
          <w:lang w:val="en-US"/>
        </w:rPr>
        <w:t xml:space="preserve">hereunder</w:t>
      </w:r>
      <w:r>
        <w:rPr>
          <w:rFonts w:ascii="Bookman Old Style" w:hAnsi="Bookman Old Style" w:cs="Times New Roman"/>
          <w:sz w:val="20"/>
          <w:szCs w:val="20"/>
        </w:rPr>
        <w:t xml:space="preserve">: -</w:t>
      </w:r>
      <w:r>
        <w:rPr>
          <w:rFonts w:ascii="Bookman Old Style" w:hAnsi="Bookman Old Style" w:cs="Times New Roman"/>
          <w:sz w:val="20"/>
          <w:szCs w:val="20"/>
        </w:rPr>
      </w:r>
    </w:p>
    <w:tbl>
      <w:tblPr>
        <w:tblStyle w:val="674"/>
        <w:jc w:val="center"/>
        <w:tblInd w:w="0" w:type="dxa"/>
        <w:tblW w:w="8908" w:type="dxa"/>
        <w:tblCellMar>
          <w:top w:w="19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>
        <w:trPr>
          <w:jc w:val="center"/>
          <w:trHeight w:val="87"/>
        </w:trPr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restart"/>
            <w:textDirection w:val="lrTb"/>
            <w:noWrap w:val="false"/>
          </w:tcPr>
          <w:p>
            <w:pPr>
              <w:pBdr/>
              <w:spacing/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r/>
            <w:bookmarkStart w:id="2" w:name="_Hlk112067927"/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Borrower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(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s</w:t>
            </w: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  <w:lang w:val="en-US"/>
              </w:rPr>
              <w:t xml:space="preserve">) Details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Date &amp; Amount of 13(2) Demand Notice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Reserve Price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shd w:val="clear" w:color="auto" w:fill="e3e3e3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 w:right="7" w:hanging="2" w:left="89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Date &amp; Time of e-Auction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</w:tr>
      <w:tr>
        <w:trPr>
          <w:jc w:val="center"/>
          <w:trHeight w:val="75"/>
        </w:trPr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2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EMD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none" w:color="000000" w:sz="4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582"/>
        </w:trPr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  <w:tc>
          <w:tcPr>
            <w:shd w:val="clear" w:color="auto" w:fill="e3e3e3"/>
            <w:tcBorders>
              <w:top w:val="single" w:color="2b2a29" w:sz="2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hAnsi="Bookman Old Style" w:eastAsia="Franklin Gothic"/>
                <w:b/>
                <w:bCs/>
                <w:color w:val="000000" w:themeColor="text1"/>
                <w:u w:val="single"/>
              </w:rPr>
              <w:t xml:space="preserve">Bid Increase Amount</w:t>
            </w:r>
            <w:r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r>
          </w:p>
        </w:tc>
        <w:tc>
          <w:tcPr>
            <w:tcBorders>
              <w:top w:val="none" w:color="000000" w:sz="4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Cambria" w:hAnsi="Cambria"/>
              </w:rPr>
              <w:t xml:space="preserve">LNCHA0HL-08240046267</w:t>
            </w:r>
            <w:r/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BRANCH: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CHANDRAPUR</w:t>
            </w:r>
            <w:r>
              <w:rPr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BORROWER: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MOHAMMD TABISH ABDUL KAYYUM SHEIKH</w:t>
            </w:r>
            <w:r>
              <w:rPr>
                <w:rFonts w:ascii="Cambria" w:hAnsi="Cambria"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CO-BORROWER(S):</w:t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rFonts w:eastAsia="Comic Sans MS"/>
                <w:bCs/>
              </w:rPr>
            </w:pPr>
            <w:r>
              <w:rPr>
                <w:rFonts w:ascii="Cambria" w:hAnsi="Cambria"/>
                <w:bCs/>
              </w:rPr>
              <w:t xml:space="preserve">MRS. RABIYA BANO ABDUL KAYYUM SHEIKH</w:t>
            </w:r>
            <w:r>
              <w:rPr>
                <w:rFonts w:eastAsia="Comic Sans MS"/>
                <w:bCs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04</w:t>
            </w:r>
            <w:r>
              <w:rPr>
                <w:b/>
              </w:rPr>
              <w:t xml:space="preserve">/202</w:t>
            </w:r>
            <w:r>
              <w:rPr>
                <w:b/>
              </w:rPr>
              <w:t xml:space="preserve">5</w:t>
            </w:r>
            <w:r>
              <w:rPr>
                <w:b/>
              </w:rPr>
            </w:r>
          </w:p>
          <w:p>
            <w:pPr>
              <w:pBdr/>
              <w:spacing/>
              <w:ind w:right="131" w:left="65"/>
              <w:jc w:val="center"/>
              <w:rPr>
                <w:b/>
              </w:rPr>
            </w:pPr>
            <w:r>
              <w:rPr>
                <w:rFonts w:ascii="Cambria" w:hAnsi="Cambria"/>
                <w:bCs/>
              </w:rPr>
              <w:t xml:space="preserve">RS. 10,73,423/- (RUPEES TEN LAKH SEVENTYTHREE THOUSAND FOUR HUNDRED TWENTYTHREE ONLY)</w:t>
            </w:r>
            <w:r>
              <w:rPr>
                <w:rFonts w:ascii="Cambria" w:hAnsi="Cambria"/>
                <w:bCs/>
              </w:rPr>
              <w:t xml:space="preserve"> AS ON 16-Apr-2025</w:t>
            </w:r>
            <w:r>
              <w:rPr>
                <w:bCs/>
              </w:rPr>
              <w:t xml:space="preserve"> ALONG WITH FURTHER</w:t>
            </w:r>
            <w:r>
              <w:t xml:space="preserve"> INTEREST AND CHARGES THEREON UNTIL REPAYMENT</w:t>
            </w:r>
            <w:r>
              <w:rPr>
                <w:b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tbl>
            <w:tblPr>
              <w:tblStyle w:val="673"/>
              <w:tblW w:w="1836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>
              <w:trPr>
                <w:trHeight w:val="265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11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50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1,15,0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  <w:tr>
              <w:trPr>
                <w:trHeight w:val="250"/>
              </w:trPr>
              <w:tc>
                <w:tcPr>
                  <w:tcBorders/>
                  <w:tcW w:w="1836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Rs.10,000/-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</w:r>
                </w:p>
              </w:tc>
            </w:tr>
          </w:tbl>
          <w:p>
            <w:pPr>
              <w:pBdr/>
              <w:spacing/>
              <w:ind w:left="5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12</w:t>
            </w:r>
            <w:r>
              <w:rPr>
                <w:b/>
                <w:bCs/>
                <w:color w:val="000000" w:themeColor="text1"/>
              </w:rPr>
              <w:t xml:space="preserve">/</w:t>
            </w:r>
            <w:r>
              <w:rPr>
                <w:b/>
                <w:bCs/>
                <w:color w:val="000000" w:themeColor="text1"/>
              </w:rPr>
              <w:t xml:space="preserve">02</w:t>
            </w:r>
            <w:r>
              <w:rPr>
                <w:b/>
                <w:bCs/>
                <w:color w:val="000000" w:themeColor="text1"/>
              </w:rPr>
              <w:t xml:space="preserve">/202</w:t>
            </w:r>
            <w:r>
              <w:rPr>
                <w:b/>
                <w:bCs/>
                <w:color w:val="000000" w:themeColor="text1"/>
              </w:rPr>
              <w:t xml:space="preserve">6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Time: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 w:firstLine="40" w:left="58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10.30 AM to</w:t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</w:t>
            </w:r>
            <w:r>
              <w:rPr>
                <w:b/>
                <w:bCs/>
                <w:color w:val="000000" w:themeColor="text1"/>
              </w:rPr>
              <w:t xml:space="preserve">2</w:t>
            </w:r>
            <w:r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 xml:space="preserve">P</w:t>
            </w:r>
            <w:r>
              <w:rPr>
                <w:b/>
                <w:bCs/>
                <w:color w:val="000000" w:themeColor="text1"/>
              </w:rPr>
              <w:t xml:space="preserve">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rPr>
          <w:jc w:val="center"/>
          <w:trHeight w:val="108"/>
        </w:trPr>
        <w:tc>
          <w:tcPr>
            <w:gridSpan w:val="4"/>
            <w:tcBorders>
              <w:top w:val="single" w:color="2b2a29" w:sz="6" w:space="0"/>
              <w:left w:val="single" w:color="2b2a29" w:sz="6" w:space="0"/>
              <w:bottom w:val="single" w:color="2b2a29" w:sz="6" w:space="0"/>
              <w:right w:val="single" w:color="2b2a29" w:sz="6" w:space="0"/>
            </w:tcBorders>
            <w:tcW w:w="890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</w:rPr>
              <w:t xml:space="preserve">PROPERTY BEARING: - </w:t>
            </w:r>
            <w:r>
              <w:rPr>
                <w:rFonts w:ascii="Cambria" w:hAnsi="Cambria"/>
                <w:bCs/>
              </w:rPr>
              <w:t xml:space="preserve">ALL THA</w:t>
            </w:r>
            <w:r>
              <w:rPr>
                <w:rFonts w:ascii="Cambria" w:hAnsi="Cambria"/>
                <w:bCs/>
              </w:rPr>
              <w:t xml:space="preserve">T PIECE AND PARCEL OF THE PROPERTY BEARING SURVEY NO.268/3, PLOT NO.17, LAND AREA 245.75 SQ.MTR SITUATED AT MOUZA GHODPETH, TAH BHADRAWATI &amp; DIST CHANDRAPUR THE FOLLOWING BOUNDARIES ARE EAST- 9 MTR LAYOUT ROAD, WEST-OPEN SPACE, NORTH-9MTR WIDE ROAD, SOUTH-</w:t>
            </w:r>
            <w:r>
              <w:rPr>
                <w:rFonts w:ascii="Cambria" w:hAnsi="Cambria"/>
                <w:bCs/>
              </w:rPr>
              <w:tab/>
              <w:t xml:space="preserve">PLOT NO.8</w:t>
            </w:r>
            <w:bookmarkEnd w:id="2"/>
            <w:r>
              <w:rPr>
                <w:b/>
                <w:bCs/>
                <w:color w:val="000000" w:themeColor="text1"/>
              </w:rPr>
            </w:r>
          </w:p>
        </w:tc>
      </w:tr>
    </w:tbl>
    <w:p>
      <w:p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 xml:space="preserve">Terms and Conditions of E- Auction: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www.niwashfc.com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11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/02/2026.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11" w:tooltip="https://www.niwashfc.com/Auction-Notices" w:history="1">
        <w:r>
          <w:rPr>
            <w:rStyle w:val="672"/>
            <w:rFonts w:ascii="Bookman Old Style" w:hAnsi="Bookman Old Style" w:cs="Times New Roman"/>
            <w:sz w:val="20"/>
            <w:szCs w:val="20"/>
            <w:shd w:val="clear" w:color="auto" w:fill="ffffff"/>
          </w:rPr>
          <w:t xml:space="preserve">https://www.niwashfc.com/Auction-Notices</w:t>
        </w:r>
      </w:hyperlink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numPr>
          <w:ilvl w:val="0"/>
          <w:numId w:val="1"/>
        </w:numPr>
        <w:pBdr/>
        <w:spacing w:after="6"/>
        <w:ind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>
        <w:rPr>
          <w:rFonts w:ascii="Bookman Old Style" w:hAnsi="Bookman Old Style" w:cs="Times New Roman"/>
          <w:b/>
          <w:bCs/>
          <w:color w:val="000000" w:themeColor="text1"/>
        </w:rPr>
        <w:t xml:space="preserve">Credresolution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pvt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>
        <w:rPr>
          <w:rFonts w:ascii="Bookman Old Style" w:hAnsi="Bookman Old Style" w:cs="Times New Roman"/>
          <w:b/>
          <w:bCs/>
          <w:color w:val="000000" w:themeColor="text1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u w:val="single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9137100020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9819167197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Style w:val="675"/>
        <w:pBdr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2" w:tooltip="mailto:balram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balram@credsolv.com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or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3" w:tooltip="mailto:amit@credsolv.com" w:history="1">
        <w:r>
          <w:rPr>
            <w:rStyle w:val="672"/>
            <w:rFonts w:ascii="Bookman Old Style" w:hAnsi="Bookman Old Style" w:cs="Times New Roman"/>
            <w:b/>
            <w:bCs/>
            <w:sz w:val="20"/>
            <w:szCs w:val="20"/>
          </w:rPr>
          <w:t xml:space="preserve">amit@credsolv.com</w:t>
        </w:r>
      </w:hyperlink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Mr. Abhay Pande-9823199007</w:t>
      </w:r>
      <w:r>
        <w:rPr>
          <w:rFonts w:ascii="Bookman Old Style" w:hAnsi="Bookman Old Style" w:cs="Times New Roman"/>
          <w:b/>
          <w:bCs/>
          <w:sz w:val="20"/>
          <w:szCs w:val="20"/>
        </w:rPr>
      </w:r>
    </w:p>
    <w:p>
      <w:pPr>
        <w:pBdr/>
        <w:spacing w:after="0" w:line="240" w:lineRule="auto"/>
        <w:ind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r>
    </w:p>
    <w:p>
      <w:pPr>
        <w:pBdr/>
        <w:spacing w:after="119" w:line="233" w:lineRule="auto"/>
        <w:ind w:right="12" w:left="45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*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ote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NHFL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(s)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shall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tabs>
          <w:tab w:val="center" w:leader="none" w:pos="5356"/>
        </w:tabs>
        <w:spacing w:after="0"/>
        <w:ind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Maharashtra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r>
    </w:p>
    <w:p>
      <w:pPr>
        <w:pBdr/>
        <w:spacing w:after="0"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Niwas Housing Finance Limited.</w:t>
      </w:r>
      <w:bookmarkEnd w:id="0"/>
      <w:r/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</w:r>
      <w:r>
        <w:rPr>
          <w:rFonts w:ascii="Bookman Old Style" w:hAnsi="Bookman Old Style"/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5" w:right="1440" w:bottom="851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Cambria">
    <w:panose1 w:val="02040503050406030204"/>
  </w:font>
  <w:font w:name="Franklin Gothic"/>
  <w:font w:name="Bookman Old Style">
    <w:panose1 w:val="0206060305060502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9CFB0"/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776B09FA"/>
    <w:lvl w:ilvl="0">
      <w:isLgl w:val="false"/>
      <w:lvlJc w:val="left"/>
      <w:lvlText w:val="%1."/>
      <w:numFmt w:val="decimal"/>
      <w:pPr>
        <w:pBdr/>
        <w:spacing/>
        <w:ind w:hanging="360" w:left="40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character" w:styleId="672">
    <w:name w:val="Hyperlink"/>
    <w:basedOn w:val="669"/>
    <w:uiPriority w:val="99"/>
    <w:unhideWhenUsed/>
    <w:qFormat/>
    <w:pPr>
      <w:pBdr/>
      <w:spacing/>
      <w:ind/>
    </w:pPr>
    <w:rPr>
      <w:color w:val="0563c1" w:themeColor="hyperlink"/>
      <w:u w:val="single"/>
    </w:rPr>
  </w:style>
  <w:style w:type="table" w:styleId="673">
    <w:name w:val="Table Grid"/>
    <w:basedOn w:val="670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 w:customStyle="1">
    <w:name w:val="Table Grid"/>
    <w:qFormat/>
    <w:pPr>
      <w:pBdr/>
      <w:spacing w:after="0" w:line="240" w:lineRule="auto"/>
      <w:ind/>
    </w:pPr>
    <w:rPr>
      <w:rFonts w:ascii="Times New Roman" w:hAnsi="Times New Roman" w:cs="Times New Roman" w:eastAsiaTheme="minorEastAsia"/>
      <w:sz w:val="20"/>
      <w:szCs w:val="20"/>
      <w:lang w:val="en-GB" w:eastAsia="en-GB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List Paragraph"/>
    <w:basedOn w:val="668"/>
    <w:uiPriority w:val="34"/>
    <w:qFormat/>
    <w:pPr>
      <w:pBdr/>
      <w:spacing w:after="200" w:line="276" w:lineRule="auto"/>
      <w:ind w:left="720"/>
      <w:contextualSpacing w:val="true"/>
    </w:pPr>
    <w:rPr>
      <w:lang w:val="en-US"/>
    </w:rPr>
  </w:style>
  <w:style w:type="character" w:styleId="676">
    <w:name w:val="Unresolved Mention"/>
    <w:basedOn w:val="66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connect@niwashfc.com" TargetMode="External"/><Relationship Id="rId11" Type="http://schemas.openxmlformats.org/officeDocument/2006/relationships/hyperlink" Target="https://www.niwashfc.com/Auction-Notices" TargetMode="External"/><Relationship Id="rId12" Type="http://schemas.openxmlformats.org/officeDocument/2006/relationships/hyperlink" Target="mailto:balram@credsolv.com" TargetMode="External"/><Relationship Id="rId13" Type="http://schemas.openxmlformats.org/officeDocument/2006/relationships/hyperlink" Target="mailto:amit@credsolv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Anonymous</cp:lastModifiedBy>
  <cp:revision>4</cp:revision>
  <dcterms:created xsi:type="dcterms:W3CDTF">2026-01-22T07:47:00Z</dcterms:created>
  <dcterms:modified xsi:type="dcterms:W3CDTF">2026-01-31T08:32:03Z</dcterms:modified>
</cp:coreProperties>
</file>